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0A" w:rsidRDefault="00E4474C"/>
    <w:p w:rsidR="00E4474C" w:rsidRPr="00355ACB" w:rsidRDefault="00E4474C" w:rsidP="00E4474C">
      <w:pPr>
        <w:rPr>
          <w:rFonts w:ascii="Times New Roman" w:hAnsi="Times New Roman" w:cs="Times New Roman"/>
          <w:b/>
          <w:i/>
          <w:sz w:val="32"/>
          <w:szCs w:val="32"/>
        </w:rPr>
      </w:pPr>
      <w:r w:rsidRPr="00355ACB">
        <w:rPr>
          <w:rFonts w:ascii="Times New Roman" w:hAnsi="Times New Roman" w:cs="Times New Roman"/>
          <w:b/>
          <w:i/>
          <w:sz w:val="32"/>
          <w:szCs w:val="32"/>
        </w:rPr>
        <w:t>International Students</w:t>
      </w:r>
    </w:p>
    <w:p w:rsidR="00E4474C" w:rsidRPr="00355ACB" w:rsidRDefault="00E4474C" w:rsidP="00E4474C">
      <w:pPr>
        <w:rPr>
          <w:rFonts w:ascii="Times New Roman" w:hAnsi="Times New Roman" w:cs="Times New Roman"/>
          <w:sz w:val="24"/>
          <w:szCs w:val="24"/>
        </w:rPr>
      </w:pPr>
      <w:r w:rsidRPr="00355ACB">
        <w:rPr>
          <w:rFonts w:ascii="Times New Roman" w:hAnsi="Times New Roman" w:cs="Times New Roman"/>
          <w:sz w:val="24"/>
          <w:szCs w:val="24"/>
        </w:rPr>
        <w:t>This unit explores some of the ways faculty can welcome and support students from a variety of backgrounds in order to provide them with the best opportunity to learn.  At the end of the unit, faculty will be able to:</w:t>
      </w:r>
    </w:p>
    <w:tbl>
      <w:tblPr>
        <w:tblStyle w:val="TableGrid"/>
        <w:tblW w:w="9715" w:type="dxa"/>
        <w:tblLook w:val="04A0" w:firstRow="1" w:lastRow="0" w:firstColumn="1" w:lastColumn="0" w:noHBand="0" w:noVBand="1"/>
      </w:tblPr>
      <w:tblGrid>
        <w:gridCol w:w="3116"/>
        <w:gridCol w:w="6599"/>
      </w:tblGrid>
      <w:tr w:rsidR="00E4474C" w:rsidRPr="00DD1648" w:rsidTr="009048B8">
        <w:tc>
          <w:tcPr>
            <w:tcW w:w="3116" w:type="dxa"/>
          </w:tcPr>
          <w:p w:rsidR="00E4474C" w:rsidRPr="003602C0" w:rsidRDefault="00E4474C" w:rsidP="009048B8">
            <w:pPr>
              <w:rPr>
                <w:rFonts w:ascii="Times New Roman" w:hAnsi="Times New Roman" w:cs="Times New Roman"/>
                <w:b/>
                <w:sz w:val="28"/>
                <w:szCs w:val="28"/>
              </w:rPr>
            </w:pPr>
            <w:r>
              <w:rPr>
                <w:rFonts w:ascii="Times New Roman" w:hAnsi="Times New Roman" w:cs="Times New Roman"/>
                <w:b/>
                <w:sz w:val="28"/>
                <w:szCs w:val="28"/>
              </w:rPr>
              <w:t>Objectives</w:t>
            </w:r>
          </w:p>
        </w:tc>
        <w:tc>
          <w:tcPr>
            <w:tcW w:w="6599" w:type="dxa"/>
          </w:tcPr>
          <w:p w:rsidR="00E4474C" w:rsidRPr="00355ACB" w:rsidRDefault="00E4474C" w:rsidP="00E4474C">
            <w:pPr>
              <w:numPr>
                <w:ilvl w:val="0"/>
                <w:numId w:val="1"/>
              </w:numPr>
              <w:rPr>
                <w:rFonts w:ascii="Times New Roman" w:hAnsi="Times New Roman" w:cs="Times New Roman"/>
                <w:sz w:val="24"/>
                <w:szCs w:val="24"/>
              </w:rPr>
            </w:pPr>
            <w:r w:rsidRPr="00355ACB">
              <w:rPr>
                <w:rFonts w:ascii="Times New Roman" w:hAnsi="Times New Roman" w:cs="Times New Roman"/>
                <w:sz w:val="24"/>
                <w:szCs w:val="24"/>
              </w:rPr>
              <w:t>Compare and contrast differences in the educational experienced for American and International students.</w:t>
            </w:r>
          </w:p>
          <w:p w:rsidR="00E4474C" w:rsidRPr="00355ACB" w:rsidRDefault="00E4474C" w:rsidP="00E4474C">
            <w:pPr>
              <w:numPr>
                <w:ilvl w:val="0"/>
                <w:numId w:val="1"/>
              </w:numPr>
              <w:rPr>
                <w:rFonts w:ascii="Times New Roman" w:hAnsi="Times New Roman" w:cs="Times New Roman"/>
                <w:sz w:val="24"/>
                <w:szCs w:val="24"/>
              </w:rPr>
            </w:pPr>
            <w:bookmarkStart w:id="0" w:name="_GoBack"/>
            <w:bookmarkEnd w:id="0"/>
            <w:r w:rsidRPr="00355ACB">
              <w:rPr>
                <w:rFonts w:ascii="Times New Roman" w:hAnsi="Times New Roman" w:cs="Times New Roman"/>
                <w:sz w:val="24"/>
                <w:szCs w:val="24"/>
              </w:rPr>
              <w:t>Identify the different resources available to Wilmington University faculty who teaching international students.</w:t>
            </w:r>
          </w:p>
          <w:p w:rsidR="00E4474C" w:rsidRPr="00355ACB" w:rsidRDefault="00E4474C" w:rsidP="00E4474C">
            <w:pPr>
              <w:numPr>
                <w:ilvl w:val="0"/>
                <w:numId w:val="1"/>
              </w:numPr>
              <w:rPr>
                <w:rFonts w:ascii="Times New Roman" w:hAnsi="Times New Roman" w:cs="Times New Roman"/>
                <w:sz w:val="24"/>
                <w:szCs w:val="24"/>
              </w:rPr>
            </w:pPr>
            <w:r w:rsidRPr="00355ACB">
              <w:rPr>
                <w:rFonts w:ascii="Times New Roman" w:hAnsi="Times New Roman" w:cs="Times New Roman"/>
                <w:sz w:val="24"/>
                <w:szCs w:val="24"/>
              </w:rPr>
              <w:t xml:space="preserve">Develop a means of communicating course expectations with international student populations.  </w:t>
            </w:r>
          </w:p>
          <w:p w:rsidR="00E4474C" w:rsidRPr="00DD1648" w:rsidRDefault="00E4474C" w:rsidP="009048B8">
            <w:pPr>
              <w:rPr>
                <w:rFonts w:ascii="Times New Roman" w:hAnsi="Times New Roman" w:cs="Times New Roman"/>
                <w:sz w:val="24"/>
                <w:szCs w:val="24"/>
              </w:rPr>
            </w:pPr>
          </w:p>
        </w:tc>
      </w:tr>
      <w:tr w:rsidR="00E4474C" w:rsidRPr="00DD1648" w:rsidTr="009048B8">
        <w:tc>
          <w:tcPr>
            <w:tcW w:w="3116" w:type="dxa"/>
          </w:tcPr>
          <w:p w:rsidR="00E4474C" w:rsidRPr="003602C0" w:rsidRDefault="00E4474C" w:rsidP="009048B8">
            <w:pPr>
              <w:rPr>
                <w:rFonts w:ascii="Times New Roman" w:hAnsi="Times New Roman" w:cs="Times New Roman"/>
                <w:b/>
                <w:sz w:val="28"/>
                <w:szCs w:val="28"/>
              </w:rPr>
            </w:pPr>
            <w:r w:rsidRPr="003602C0">
              <w:rPr>
                <w:rFonts w:ascii="Times New Roman" w:hAnsi="Times New Roman" w:cs="Times New Roman"/>
                <w:b/>
                <w:sz w:val="28"/>
                <w:szCs w:val="28"/>
              </w:rPr>
              <w:t>Assessments</w:t>
            </w:r>
          </w:p>
        </w:tc>
        <w:tc>
          <w:tcPr>
            <w:tcW w:w="6599" w:type="dxa"/>
          </w:tcPr>
          <w:p w:rsidR="00E4474C" w:rsidRPr="00DD1648" w:rsidRDefault="00E4474C" w:rsidP="009048B8">
            <w:pPr>
              <w:rPr>
                <w:rFonts w:ascii="Times New Roman" w:hAnsi="Times New Roman" w:cs="Times New Roman"/>
                <w:sz w:val="24"/>
                <w:szCs w:val="24"/>
              </w:rPr>
            </w:pPr>
            <w:r>
              <w:rPr>
                <w:rFonts w:ascii="Times New Roman" w:hAnsi="Times New Roman" w:cs="Times New Roman"/>
                <w:sz w:val="24"/>
                <w:szCs w:val="24"/>
              </w:rPr>
              <w:t xml:space="preserve">Proficient level- course relevant application </w:t>
            </w:r>
          </w:p>
        </w:tc>
      </w:tr>
    </w:tbl>
    <w:p w:rsidR="00E4474C" w:rsidRDefault="00E4474C" w:rsidP="00E4474C">
      <w:pPr>
        <w:rPr>
          <w:rFonts w:ascii="Times New Roman" w:hAnsi="Times New Roman" w:cs="Times New Roman"/>
          <w:sz w:val="32"/>
          <w:szCs w:val="32"/>
        </w:rPr>
      </w:pPr>
    </w:p>
    <w:p w:rsidR="00E4474C" w:rsidRPr="00DD1648" w:rsidRDefault="00E4474C" w:rsidP="00E4474C">
      <w:pPr>
        <w:rPr>
          <w:rFonts w:ascii="Times New Roman" w:hAnsi="Times New Roman" w:cs="Times New Roman"/>
          <w:b/>
          <w:sz w:val="28"/>
          <w:szCs w:val="28"/>
        </w:rPr>
      </w:pPr>
      <w:r w:rsidRPr="00DD1648">
        <w:rPr>
          <w:rFonts w:ascii="Times New Roman" w:hAnsi="Times New Roman" w:cs="Times New Roman"/>
          <w:b/>
          <w:sz w:val="28"/>
          <w:szCs w:val="28"/>
        </w:rPr>
        <w:t>Resources</w:t>
      </w:r>
    </w:p>
    <w:p w:rsidR="00DB12A6" w:rsidRDefault="00DB12A6">
      <w:pPr>
        <w:rPr>
          <w:rFonts w:ascii="Times New Roman" w:hAnsi="Times New Roman" w:cs="Times New Roman"/>
          <w:sz w:val="24"/>
          <w:szCs w:val="24"/>
        </w:rPr>
      </w:pPr>
    </w:p>
    <w:p w:rsidR="00DB12A6" w:rsidRDefault="00355ACB" w:rsidP="00DB12A6">
      <w:pPr>
        <w:rPr>
          <w:rFonts w:ascii="Times New Roman" w:hAnsi="Times New Roman" w:cs="Times New Roman"/>
          <w:b/>
          <w:i/>
          <w:sz w:val="32"/>
          <w:szCs w:val="32"/>
        </w:rPr>
      </w:pPr>
      <w:r>
        <w:rPr>
          <w:rFonts w:ascii="Times New Roman" w:hAnsi="Times New Roman" w:cs="Times New Roman"/>
          <w:b/>
          <w:i/>
          <w:sz w:val="32"/>
          <w:szCs w:val="32"/>
        </w:rPr>
        <w:t xml:space="preserve">International students and our student-centered focus at </w:t>
      </w:r>
      <w:r w:rsidRPr="00355ACB">
        <w:rPr>
          <w:rFonts w:ascii="Times New Roman" w:hAnsi="Times New Roman" w:cs="Times New Roman"/>
          <w:b/>
          <w:i/>
          <w:sz w:val="32"/>
          <w:szCs w:val="32"/>
        </w:rPr>
        <w:t>Wilmington University</w:t>
      </w:r>
    </w:p>
    <w:p w:rsidR="00DB12A6" w:rsidRPr="00355ACB" w:rsidRDefault="00355ACB" w:rsidP="00DB12A6">
      <w:pPr>
        <w:rPr>
          <w:rFonts w:ascii="Times New Roman" w:hAnsi="Times New Roman" w:cs="Times New Roman"/>
          <w:i/>
          <w:sz w:val="24"/>
          <w:szCs w:val="24"/>
        </w:rPr>
      </w:pPr>
      <w:r>
        <w:rPr>
          <w:rFonts w:ascii="Times New Roman" w:hAnsi="Times New Roman" w:cs="Times New Roman"/>
          <w:sz w:val="24"/>
          <w:szCs w:val="24"/>
        </w:rPr>
        <w:t xml:space="preserve">At </w:t>
      </w:r>
      <w:r w:rsidRPr="00355ACB">
        <w:rPr>
          <w:rFonts w:ascii="Times New Roman" w:hAnsi="Times New Roman" w:cs="Times New Roman"/>
          <w:sz w:val="24"/>
          <w:szCs w:val="24"/>
        </w:rPr>
        <w:t>Wilmington University</w:t>
      </w:r>
      <w:r>
        <w:rPr>
          <w:rFonts w:ascii="Times New Roman" w:hAnsi="Times New Roman" w:cs="Times New Roman"/>
          <w:sz w:val="24"/>
          <w:szCs w:val="24"/>
        </w:rPr>
        <w:t xml:space="preserve">, we pride ourselves on being student-centered and in offering individual attention to students.  </w:t>
      </w:r>
      <w:r w:rsidRPr="00355ACB">
        <w:rPr>
          <w:rFonts w:ascii="Times New Roman" w:hAnsi="Times New Roman" w:cs="Times New Roman"/>
          <w:sz w:val="24"/>
          <w:szCs w:val="24"/>
        </w:rPr>
        <w:t>As more and more students from diverse backgrounds enroll at Wilmington University, we must provide a setting where all students regardless of their cultural and linguistic background are welcomed and supported, and provided with the best opportunity to learn.  For many international students, the kinds of behaviors required in our university setting contrast with home cultural and linguistic practices. To increase the success of our students, it is imperative that we help to bridge this discontinuity between home and school.</w:t>
      </w:r>
    </w:p>
    <w:p w:rsidR="00DB12A6" w:rsidRDefault="00DB12A6">
      <w:pPr>
        <w:rPr>
          <w:rFonts w:ascii="Times New Roman" w:hAnsi="Times New Roman" w:cs="Times New Roman"/>
          <w:sz w:val="24"/>
          <w:szCs w:val="24"/>
        </w:rPr>
      </w:pPr>
    </w:p>
    <w:p w:rsidR="00355ACB" w:rsidRDefault="00355ACB" w:rsidP="00355ACB">
      <w:pPr>
        <w:rPr>
          <w:rFonts w:ascii="Times New Roman" w:hAnsi="Times New Roman" w:cs="Times New Roman"/>
          <w:b/>
          <w:i/>
          <w:sz w:val="32"/>
          <w:szCs w:val="32"/>
        </w:rPr>
      </w:pPr>
      <w:r>
        <w:rPr>
          <w:rFonts w:ascii="Times New Roman" w:hAnsi="Times New Roman" w:cs="Times New Roman"/>
          <w:b/>
          <w:i/>
          <w:sz w:val="32"/>
          <w:szCs w:val="32"/>
        </w:rPr>
        <w:t>How do international and American students differ in the classroom?</w:t>
      </w:r>
    </w:p>
    <w:p w:rsidR="00DB12A6" w:rsidRDefault="00355ACB" w:rsidP="00DB12A6">
      <w:pPr>
        <w:rPr>
          <w:rFonts w:ascii="Times New Roman" w:hAnsi="Times New Roman" w:cs="Times New Roman"/>
          <w:sz w:val="24"/>
          <w:szCs w:val="24"/>
        </w:rPr>
      </w:pPr>
      <w:r>
        <w:rPr>
          <w:rFonts w:ascii="Times New Roman" w:hAnsi="Times New Roman" w:cs="Times New Roman"/>
          <w:sz w:val="24"/>
          <w:szCs w:val="24"/>
        </w:rPr>
        <w:t>Some areas where cultural differences may appear include nearly every aspect of the teaching environment, including:</w:t>
      </w:r>
    </w:p>
    <w:p w:rsidR="00355ACB" w:rsidRDefault="00355ACB" w:rsidP="00355AC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Communication between students and faculty both during class and in-between class sessions</w:t>
      </w:r>
    </w:p>
    <w:p w:rsidR="0052401E" w:rsidRDefault="0052401E" w:rsidP="00355AC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Citation of works referenced or originality of thought</w:t>
      </w:r>
    </w:p>
    <w:p w:rsidR="00355ACB" w:rsidRDefault="00355ACB" w:rsidP="00355AC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Expectations for the negotiability of due dates and grading decisions</w:t>
      </w:r>
    </w:p>
    <w:p w:rsidR="00355ACB" w:rsidRPr="0052401E" w:rsidRDefault="0052401E" w:rsidP="0052401E">
      <w:pPr>
        <w:rPr>
          <w:rFonts w:ascii="Times New Roman" w:hAnsi="Times New Roman" w:cs="Times New Roman"/>
          <w:sz w:val="24"/>
          <w:szCs w:val="24"/>
        </w:rPr>
      </w:pPr>
      <w:r>
        <w:rPr>
          <w:rFonts w:ascii="Times New Roman" w:hAnsi="Times New Roman" w:cs="Times New Roman"/>
          <w:sz w:val="24"/>
          <w:szCs w:val="24"/>
        </w:rPr>
        <w:t xml:space="preserve">Please review the resources provided to prepare for the common cultural differences present in the classroom environment and for guidance on how to make all students feel comfortable and able to perform at their best. </w:t>
      </w:r>
    </w:p>
    <w:p w:rsidR="00DB12A6" w:rsidRDefault="00DB12A6" w:rsidP="00DB12A6">
      <w:pPr>
        <w:rPr>
          <w:rFonts w:ascii="Times New Roman" w:hAnsi="Times New Roman" w:cs="Times New Roman"/>
          <w:sz w:val="24"/>
          <w:szCs w:val="24"/>
        </w:rPr>
      </w:pPr>
    </w:p>
    <w:p w:rsidR="00851A5F" w:rsidRPr="00C2261A" w:rsidRDefault="00355ACB" w:rsidP="00851A5F">
      <w:pPr>
        <w:rPr>
          <w:rFonts w:ascii="Times New Roman" w:hAnsi="Times New Roman" w:cs="Times New Roman"/>
          <w:b/>
          <w:i/>
          <w:sz w:val="32"/>
          <w:szCs w:val="32"/>
        </w:rPr>
      </w:pPr>
      <w:r>
        <w:rPr>
          <w:rFonts w:ascii="Times New Roman" w:hAnsi="Times New Roman" w:cs="Times New Roman"/>
          <w:b/>
          <w:i/>
          <w:sz w:val="32"/>
          <w:szCs w:val="32"/>
        </w:rPr>
        <w:t>What resources are available for me?</w:t>
      </w:r>
    </w:p>
    <w:p w:rsidR="00851A5F" w:rsidRDefault="00851A5F" w:rsidP="00851A5F">
      <w:pPr>
        <w:rPr>
          <w:rFonts w:ascii="Times New Roman" w:hAnsi="Times New Roman" w:cs="Times New Roman"/>
          <w:sz w:val="24"/>
          <w:szCs w:val="24"/>
        </w:rPr>
      </w:pPr>
      <w:r>
        <w:rPr>
          <w:rFonts w:ascii="Times New Roman" w:hAnsi="Times New Roman" w:cs="Times New Roman"/>
          <w:sz w:val="24"/>
          <w:szCs w:val="24"/>
        </w:rPr>
        <w:t xml:space="preserve">If you would like to discuss this topic, or to </w:t>
      </w:r>
      <w:r w:rsidR="00355ACB">
        <w:rPr>
          <w:rFonts w:ascii="Times New Roman" w:hAnsi="Times New Roman" w:cs="Times New Roman"/>
          <w:sz w:val="24"/>
          <w:szCs w:val="24"/>
        </w:rPr>
        <w:t>be put in touch with a faculty member with expertise in this area</w:t>
      </w:r>
      <w:r>
        <w:rPr>
          <w:rFonts w:ascii="Times New Roman" w:hAnsi="Times New Roman" w:cs="Times New Roman"/>
          <w:sz w:val="24"/>
          <w:szCs w:val="24"/>
        </w:rPr>
        <w:t xml:space="preserve"> feel free to send us an email at </w:t>
      </w:r>
      <w:hyperlink r:id="rId7" w:history="1">
        <w:r w:rsidRPr="002F02A5">
          <w:rPr>
            <w:rStyle w:val="Hyperlink"/>
            <w:rFonts w:ascii="Times New Roman" w:hAnsi="Times New Roman" w:cs="Times New Roman"/>
            <w:sz w:val="24"/>
            <w:szCs w:val="24"/>
          </w:rPr>
          <w:t>facultydevelopment@wilmu.edu</w:t>
        </w:r>
      </w:hyperlink>
      <w:r w:rsidR="00355ACB">
        <w:rPr>
          <w:rFonts w:ascii="Times New Roman" w:hAnsi="Times New Roman" w:cs="Times New Roman"/>
          <w:sz w:val="24"/>
          <w:szCs w:val="24"/>
        </w:rPr>
        <w:t xml:space="preserve"> for more information.  </w:t>
      </w:r>
      <w:r>
        <w:rPr>
          <w:rFonts w:ascii="Times New Roman" w:hAnsi="Times New Roman" w:cs="Times New Roman"/>
          <w:sz w:val="24"/>
          <w:szCs w:val="24"/>
        </w:rPr>
        <w:t xml:space="preserve">  </w:t>
      </w:r>
    </w:p>
    <w:p w:rsidR="00851A5F" w:rsidRDefault="00851A5F" w:rsidP="00DB12A6">
      <w:pPr>
        <w:rPr>
          <w:rFonts w:ascii="Times New Roman" w:hAnsi="Times New Roman" w:cs="Times New Roman"/>
          <w:sz w:val="24"/>
          <w:szCs w:val="24"/>
        </w:rPr>
      </w:pPr>
    </w:p>
    <w:p w:rsidR="00DB12A6" w:rsidRDefault="00DB12A6" w:rsidP="00DB12A6">
      <w:pPr>
        <w:rPr>
          <w:rFonts w:ascii="Times New Roman" w:hAnsi="Times New Roman" w:cs="Times New Roman"/>
          <w:b/>
          <w:i/>
          <w:sz w:val="32"/>
          <w:szCs w:val="32"/>
        </w:rPr>
      </w:pPr>
      <w:r w:rsidRPr="00A03062">
        <w:rPr>
          <w:rFonts w:ascii="Times New Roman" w:hAnsi="Times New Roman" w:cs="Times New Roman"/>
          <w:b/>
          <w:i/>
          <w:sz w:val="32"/>
          <w:szCs w:val="32"/>
        </w:rPr>
        <w:t xml:space="preserve">How do I </w:t>
      </w:r>
      <w:r>
        <w:rPr>
          <w:rFonts w:ascii="Times New Roman" w:hAnsi="Times New Roman" w:cs="Times New Roman"/>
          <w:b/>
          <w:i/>
          <w:sz w:val="32"/>
          <w:szCs w:val="32"/>
        </w:rPr>
        <w:t>earn credit for this learning unit on my Pathway to Instructional Excellence?</w:t>
      </w:r>
    </w:p>
    <w:p w:rsidR="00355ACB" w:rsidRPr="00A03062" w:rsidRDefault="00355ACB" w:rsidP="00355ACB">
      <w:pPr>
        <w:rPr>
          <w:rFonts w:ascii="Times New Roman" w:hAnsi="Times New Roman" w:cs="Times New Roman"/>
          <w:sz w:val="24"/>
          <w:szCs w:val="24"/>
        </w:rPr>
      </w:pPr>
      <w:r>
        <w:rPr>
          <w:rFonts w:ascii="Times New Roman" w:hAnsi="Times New Roman" w:cs="Times New Roman"/>
          <w:sz w:val="24"/>
          <w:szCs w:val="24"/>
        </w:rPr>
        <w:t xml:space="preserve">Our international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module is designated as a CTE (Center for Teaching Excellence) Proficient Level Elective.  At this level, the CTE is looking to see faculty application of these</w:t>
      </w:r>
      <w:r w:rsidRPr="00A03062">
        <w:rPr>
          <w:rFonts w:ascii="Times New Roman" w:hAnsi="Times New Roman" w:cs="Times New Roman"/>
          <w:sz w:val="24"/>
          <w:szCs w:val="24"/>
        </w:rPr>
        <w:t xml:space="preserve"> techniques to a class agenda for an upcoming class session.  Please upload a document </w:t>
      </w:r>
      <w:r>
        <w:rPr>
          <w:rFonts w:ascii="Times New Roman" w:hAnsi="Times New Roman" w:cs="Times New Roman"/>
          <w:sz w:val="24"/>
          <w:szCs w:val="24"/>
        </w:rPr>
        <w:t xml:space="preserve">into your </w:t>
      </w:r>
      <w:proofErr w:type="spellStart"/>
      <w:r>
        <w:rPr>
          <w:rFonts w:ascii="Times New Roman" w:hAnsi="Times New Roman" w:cs="Times New Roman"/>
          <w:sz w:val="24"/>
          <w:szCs w:val="24"/>
        </w:rPr>
        <w:t>WilmU</w:t>
      </w:r>
      <w:proofErr w:type="spellEnd"/>
      <w:r>
        <w:rPr>
          <w:rFonts w:ascii="Times New Roman" w:hAnsi="Times New Roman" w:cs="Times New Roman"/>
          <w:sz w:val="24"/>
          <w:szCs w:val="24"/>
        </w:rPr>
        <w:t xml:space="preserve"> Learning Center profile </w:t>
      </w:r>
      <w:r w:rsidRPr="00A03062">
        <w:rPr>
          <w:rFonts w:ascii="Times New Roman" w:hAnsi="Times New Roman" w:cs="Times New Roman"/>
          <w:sz w:val="24"/>
          <w:szCs w:val="24"/>
        </w:rPr>
        <w:t xml:space="preserve">that outlines your planned class agenda that incorporates </w:t>
      </w:r>
      <w:r>
        <w:rPr>
          <w:rFonts w:ascii="Times New Roman" w:hAnsi="Times New Roman" w:cs="Times New Roman"/>
          <w:sz w:val="24"/>
          <w:szCs w:val="24"/>
        </w:rPr>
        <w:t>techniques used to address the needs of international students</w:t>
      </w:r>
      <w:r w:rsidRPr="00A03062">
        <w:rPr>
          <w:rFonts w:ascii="Times New Roman" w:hAnsi="Times New Roman" w:cs="Times New Roman"/>
          <w:sz w:val="24"/>
          <w:szCs w:val="24"/>
        </w:rPr>
        <w:t xml:space="preserve"> and predicts how these efforts will impact student learning.  Please include the following in your submission:</w:t>
      </w:r>
    </w:p>
    <w:p w:rsidR="00355ACB" w:rsidRPr="00A03062" w:rsidRDefault="00355ACB" w:rsidP="00355ACB">
      <w:pPr>
        <w:numPr>
          <w:ilvl w:val="0"/>
          <w:numId w:val="2"/>
        </w:numPr>
        <w:rPr>
          <w:rFonts w:ascii="Times New Roman" w:hAnsi="Times New Roman" w:cs="Times New Roman"/>
          <w:sz w:val="24"/>
          <w:szCs w:val="24"/>
        </w:rPr>
      </w:pPr>
      <w:r w:rsidRPr="00A03062">
        <w:rPr>
          <w:rFonts w:ascii="Times New Roman" w:hAnsi="Times New Roman" w:cs="Times New Roman"/>
          <w:sz w:val="24"/>
          <w:szCs w:val="24"/>
        </w:rPr>
        <w:t>The intended class learning outcomes or objectives you plan to address</w:t>
      </w:r>
    </w:p>
    <w:p w:rsidR="00355ACB" w:rsidRPr="00A03062" w:rsidRDefault="00355ACB" w:rsidP="00355ACB">
      <w:pPr>
        <w:numPr>
          <w:ilvl w:val="0"/>
          <w:numId w:val="2"/>
        </w:numPr>
        <w:rPr>
          <w:rFonts w:ascii="Times New Roman" w:hAnsi="Times New Roman" w:cs="Times New Roman"/>
          <w:sz w:val="24"/>
          <w:szCs w:val="24"/>
        </w:rPr>
      </w:pPr>
      <w:r w:rsidRPr="00A03062">
        <w:rPr>
          <w:rFonts w:ascii="Times New Roman" w:hAnsi="Times New Roman" w:cs="Times New Roman"/>
          <w:sz w:val="24"/>
          <w:szCs w:val="24"/>
        </w:rPr>
        <w:t xml:space="preserve">The </w:t>
      </w:r>
      <w:r>
        <w:rPr>
          <w:rFonts w:ascii="Times New Roman" w:hAnsi="Times New Roman" w:cs="Times New Roman"/>
          <w:sz w:val="24"/>
          <w:szCs w:val="24"/>
        </w:rPr>
        <w:t xml:space="preserve">updates you have made to account for international students for </w:t>
      </w:r>
      <w:r w:rsidRPr="00A03062">
        <w:rPr>
          <w:rFonts w:ascii="Times New Roman" w:hAnsi="Times New Roman" w:cs="Times New Roman"/>
          <w:sz w:val="24"/>
          <w:szCs w:val="24"/>
        </w:rPr>
        <w:t xml:space="preserve"> this class session</w:t>
      </w:r>
    </w:p>
    <w:p w:rsidR="00355ACB" w:rsidRPr="00A03062" w:rsidRDefault="00355ACB" w:rsidP="00355ACB">
      <w:pPr>
        <w:numPr>
          <w:ilvl w:val="0"/>
          <w:numId w:val="2"/>
        </w:numPr>
        <w:rPr>
          <w:rFonts w:ascii="Times New Roman" w:hAnsi="Times New Roman" w:cs="Times New Roman"/>
          <w:sz w:val="24"/>
          <w:szCs w:val="24"/>
        </w:rPr>
      </w:pPr>
      <w:r w:rsidRPr="00A03062">
        <w:rPr>
          <w:rFonts w:ascii="Times New Roman" w:hAnsi="Times New Roman" w:cs="Times New Roman"/>
          <w:sz w:val="24"/>
          <w:szCs w:val="24"/>
        </w:rPr>
        <w:t>The predicted impact these instructional activities will have on student learning for this class meeting</w:t>
      </w:r>
    </w:p>
    <w:p w:rsidR="00355ACB" w:rsidRDefault="00355ACB" w:rsidP="00355ACB">
      <w:pPr>
        <w:rPr>
          <w:rFonts w:ascii="Times New Roman" w:hAnsi="Times New Roman" w:cs="Times New Roman"/>
          <w:sz w:val="24"/>
          <w:szCs w:val="24"/>
        </w:rPr>
      </w:pPr>
      <w:r w:rsidRPr="00A03062">
        <w:rPr>
          <w:rFonts w:ascii="Times New Roman" w:hAnsi="Times New Roman" w:cs="Times New Roman"/>
          <w:sz w:val="24"/>
          <w:szCs w:val="24"/>
        </w:rPr>
        <w:t xml:space="preserve">Faculty submissions will be scored using the </w:t>
      </w:r>
      <w:r w:rsidRPr="00A03062">
        <w:rPr>
          <w:rFonts w:ascii="Times New Roman" w:hAnsi="Times New Roman" w:cs="Times New Roman"/>
          <w:i/>
          <w:iCs/>
          <w:sz w:val="24"/>
          <w:szCs w:val="24"/>
        </w:rPr>
        <w:t>Proficient Level Rubric.</w:t>
      </w:r>
      <w:r w:rsidRPr="00A03062">
        <w:rPr>
          <w:rFonts w:ascii="Times New Roman" w:hAnsi="Times New Roman" w:cs="Times New Roman"/>
          <w:sz w:val="24"/>
          <w:szCs w:val="24"/>
        </w:rPr>
        <w:t xml:space="preserve">  To earn completion of this exercise, faculty must score 4/5 or higher.  Faculty scoring 3 or lower will receive feedback from the CTE and will have the opportunity to resubmit their active learning techniques application.  </w:t>
      </w:r>
    </w:p>
    <w:p w:rsidR="00355ACB" w:rsidRDefault="00355ACB" w:rsidP="00355ACB">
      <w:pPr>
        <w:rPr>
          <w:rFonts w:ascii="Times New Roman" w:hAnsi="Times New Roman" w:cs="Times New Roman"/>
          <w:sz w:val="24"/>
          <w:szCs w:val="24"/>
        </w:rPr>
      </w:pPr>
    </w:p>
    <w:p w:rsidR="00355ACB" w:rsidRDefault="00355ACB" w:rsidP="00355ACB">
      <w:pPr>
        <w:rPr>
          <w:rFonts w:ascii="Times New Roman" w:hAnsi="Times New Roman" w:cs="Times New Roman"/>
          <w:sz w:val="24"/>
          <w:szCs w:val="24"/>
        </w:rPr>
      </w:pPr>
    </w:p>
    <w:p w:rsidR="0052401E" w:rsidRDefault="0052401E" w:rsidP="00355ACB">
      <w:pPr>
        <w:rPr>
          <w:rFonts w:ascii="Times New Roman" w:hAnsi="Times New Roman" w:cs="Times New Roman"/>
          <w:sz w:val="24"/>
          <w:szCs w:val="24"/>
        </w:rPr>
      </w:pPr>
    </w:p>
    <w:p w:rsidR="0052401E" w:rsidRDefault="0052401E" w:rsidP="00355ACB">
      <w:pPr>
        <w:rPr>
          <w:rFonts w:ascii="Times New Roman" w:hAnsi="Times New Roman" w:cs="Times New Roman"/>
          <w:sz w:val="24"/>
          <w:szCs w:val="24"/>
        </w:rPr>
      </w:pPr>
    </w:p>
    <w:p w:rsidR="0052401E" w:rsidRDefault="0052401E" w:rsidP="00355ACB">
      <w:pPr>
        <w:rPr>
          <w:rFonts w:ascii="Times New Roman" w:hAnsi="Times New Roman" w:cs="Times New Roman"/>
          <w:sz w:val="24"/>
          <w:szCs w:val="24"/>
        </w:rPr>
      </w:pPr>
    </w:p>
    <w:p w:rsidR="0052401E" w:rsidRDefault="0052401E" w:rsidP="00355ACB">
      <w:pPr>
        <w:rPr>
          <w:rFonts w:ascii="Times New Roman" w:hAnsi="Times New Roman" w:cs="Times New Roman"/>
          <w:sz w:val="24"/>
          <w:szCs w:val="24"/>
        </w:rPr>
      </w:pPr>
    </w:p>
    <w:p w:rsidR="00355ACB" w:rsidRDefault="00355ACB" w:rsidP="00355ACB">
      <w:pPr>
        <w:rPr>
          <w:rFonts w:ascii="Times New Roman" w:hAnsi="Times New Roman" w:cs="Times New Roman"/>
          <w:sz w:val="24"/>
          <w:szCs w:val="24"/>
        </w:rPr>
      </w:pPr>
    </w:p>
    <w:p w:rsidR="00355ACB" w:rsidRPr="00A03062" w:rsidRDefault="00355ACB" w:rsidP="00355ACB">
      <w:pPr>
        <w:rPr>
          <w:rFonts w:ascii="Times New Roman" w:hAnsi="Times New Roman" w:cs="Times New Roman"/>
          <w:sz w:val="24"/>
          <w:szCs w:val="24"/>
        </w:rPr>
      </w:pPr>
    </w:p>
    <w:p w:rsidR="00355ACB" w:rsidRPr="00C01F25" w:rsidRDefault="00355ACB" w:rsidP="00355ACB">
      <w:pPr>
        <w:jc w:val="center"/>
        <w:rPr>
          <w:rFonts w:ascii="Times New Roman" w:hAnsi="Times New Roman" w:cs="Times New Roman"/>
          <w:b/>
          <w:sz w:val="24"/>
          <w:szCs w:val="24"/>
        </w:rPr>
      </w:pPr>
      <w:r>
        <w:rPr>
          <w:rFonts w:ascii="Times New Roman" w:hAnsi="Times New Roman" w:cs="Times New Roman"/>
          <w:b/>
          <w:sz w:val="24"/>
          <w:szCs w:val="24"/>
        </w:rPr>
        <w:t>CTE-Pathways to Instructional Excellence-Proficient Level Rubric</w:t>
      </w:r>
    </w:p>
    <w:tbl>
      <w:tblPr>
        <w:tblStyle w:val="TableGrid"/>
        <w:tblW w:w="11596" w:type="dxa"/>
        <w:tblInd w:w="-995" w:type="dxa"/>
        <w:tblLook w:val="04A0" w:firstRow="1" w:lastRow="0" w:firstColumn="1" w:lastColumn="0" w:noHBand="0" w:noVBand="1"/>
      </w:tblPr>
      <w:tblGrid>
        <w:gridCol w:w="1948"/>
        <w:gridCol w:w="1948"/>
        <w:gridCol w:w="2505"/>
        <w:gridCol w:w="2335"/>
        <w:gridCol w:w="2860"/>
      </w:tblGrid>
      <w:tr w:rsidR="00355ACB" w:rsidTr="005E11E4">
        <w:trPr>
          <w:trHeight w:val="860"/>
        </w:trPr>
        <w:tc>
          <w:tcPr>
            <w:tcW w:w="1948" w:type="dxa"/>
          </w:tcPr>
          <w:p w:rsidR="00355ACB" w:rsidRDefault="00355ACB" w:rsidP="005E11E4">
            <w:pPr>
              <w:rPr>
                <w:rFonts w:ascii="Times New Roman" w:hAnsi="Times New Roman" w:cs="Times New Roman"/>
                <w:b/>
                <w:sz w:val="24"/>
                <w:szCs w:val="24"/>
              </w:rPr>
            </w:pPr>
            <w:r>
              <w:rPr>
                <w:rFonts w:ascii="Times New Roman" w:hAnsi="Times New Roman" w:cs="Times New Roman"/>
                <w:b/>
                <w:sz w:val="24"/>
                <w:szCs w:val="24"/>
              </w:rPr>
              <w:t>Scoring= 1</w:t>
            </w:r>
          </w:p>
          <w:p w:rsidR="00355ACB" w:rsidRDefault="00355ACB" w:rsidP="005E11E4">
            <w:pPr>
              <w:rPr>
                <w:rFonts w:ascii="Times New Roman" w:hAnsi="Times New Roman" w:cs="Times New Roman"/>
                <w:b/>
                <w:sz w:val="24"/>
                <w:szCs w:val="24"/>
              </w:rPr>
            </w:pPr>
            <w:r>
              <w:rPr>
                <w:rFonts w:ascii="Times New Roman" w:hAnsi="Times New Roman" w:cs="Times New Roman"/>
                <w:b/>
                <w:sz w:val="24"/>
                <w:szCs w:val="24"/>
              </w:rPr>
              <w:t>Unrelated</w:t>
            </w:r>
          </w:p>
        </w:tc>
        <w:tc>
          <w:tcPr>
            <w:tcW w:w="1948" w:type="dxa"/>
          </w:tcPr>
          <w:p w:rsidR="00355ACB" w:rsidRDefault="00355ACB" w:rsidP="005E11E4">
            <w:pPr>
              <w:rPr>
                <w:rFonts w:ascii="Times New Roman" w:hAnsi="Times New Roman" w:cs="Times New Roman"/>
                <w:b/>
                <w:sz w:val="24"/>
                <w:szCs w:val="24"/>
              </w:rPr>
            </w:pPr>
            <w:r>
              <w:rPr>
                <w:rFonts w:ascii="Times New Roman" w:hAnsi="Times New Roman" w:cs="Times New Roman"/>
                <w:b/>
                <w:sz w:val="24"/>
                <w:szCs w:val="24"/>
              </w:rPr>
              <w:t>2</w:t>
            </w:r>
          </w:p>
          <w:p w:rsidR="00355ACB" w:rsidRDefault="00355ACB" w:rsidP="005E11E4">
            <w:pPr>
              <w:rPr>
                <w:rFonts w:ascii="Times New Roman" w:hAnsi="Times New Roman" w:cs="Times New Roman"/>
                <w:b/>
                <w:sz w:val="24"/>
                <w:szCs w:val="24"/>
              </w:rPr>
            </w:pPr>
            <w:r>
              <w:rPr>
                <w:rFonts w:ascii="Times New Roman" w:hAnsi="Times New Roman" w:cs="Times New Roman"/>
                <w:b/>
                <w:sz w:val="24"/>
                <w:szCs w:val="24"/>
              </w:rPr>
              <w:t>Beginner</w:t>
            </w:r>
          </w:p>
        </w:tc>
        <w:tc>
          <w:tcPr>
            <w:tcW w:w="2505" w:type="dxa"/>
          </w:tcPr>
          <w:p w:rsidR="00355ACB" w:rsidRDefault="00355ACB" w:rsidP="005E11E4">
            <w:pPr>
              <w:rPr>
                <w:rFonts w:ascii="Times New Roman" w:hAnsi="Times New Roman" w:cs="Times New Roman"/>
                <w:b/>
                <w:sz w:val="24"/>
                <w:szCs w:val="24"/>
              </w:rPr>
            </w:pPr>
            <w:r>
              <w:rPr>
                <w:rFonts w:ascii="Times New Roman" w:hAnsi="Times New Roman" w:cs="Times New Roman"/>
                <w:b/>
                <w:sz w:val="24"/>
                <w:szCs w:val="24"/>
              </w:rPr>
              <w:t>3</w:t>
            </w:r>
          </w:p>
          <w:p w:rsidR="00355ACB" w:rsidRDefault="00355ACB" w:rsidP="005E11E4">
            <w:pPr>
              <w:rPr>
                <w:rFonts w:ascii="Times New Roman" w:hAnsi="Times New Roman" w:cs="Times New Roman"/>
                <w:b/>
                <w:sz w:val="24"/>
                <w:szCs w:val="24"/>
              </w:rPr>
            </w:pPr>
            <w:r>
              <w:rPr>
                <w:rFonts w:ascii="Times New Roman" w:hAnsi="Times New Roman" w:cs="Times New Roman"/>
                <w:b/>
                <w:sz w:val="24"/>
                <w:szCs w:val="24"/>
              </w:rPr>
              <w:t>Essential</w:t>
            </w:r>
          </w:p>
        </w:tc>
        <w:tc>
          <w:tcPr>
            <w:tcW w:w="2335" w:type="dxa"/>
          </w:tcPr>
          <w:p w:rsidR="00355ACB" w:rsidRDefault="00355ACB" w:rsidP="005E11E4">
            <w:pPr>
              <w:rPr>
                <w:rFonts w:ascii="Times New Roman" w:hAnsi="Times New Roman" w:cs="Times New Roman"/>
                <w:b/>
                <w:sz w:val="24"/>
                <w:szCs w:val="24"/>
              </w:rPr>
            </w:pPr>
            <w:r>
              <w:rPr>
                <w:rFonts w:ascii="Times New Roman" w:hAnsi="Times New Roman" w:cs="Times New Roman"/>
                <w:b/>
                <w:sz w:val="24"/>
                <w:szCs w:val="24"/>
              </w:rPr>
              <w:t>4</w:t>
            </w:r>
          </w:p>
          <w:p w:rsidR="00355ACB" w:rsidRDefault="00355ACB" w:rsidP="005E11E4">
            <w:pPr>
              <w:rPr>
                <w:rFonts w:ascii="Times New Roman" w:hAnsi="Times New Roman" w:cs="Times New Roman"/>
                <w:b/>
                <w:sz w:val="24"/>
                <w:szCs w:val="24"/>
              </w:rPr>
            </w:pPr>
            <w:r>
              <w:rPr>
                <w:rFonts w:ascii="Times New Roman" w:hAnsi="Times New Roman" w:cs="Times New Roman"/>
                <w:b/>
                <w:sz w:val="24"/>
                <w:szCs w:val="24"/>
              </w:rPr>
              <w:t>Proficient</w:t>
            </w:r>
          </w:p>
        </w:tc>
        <w:tc>
          <w:tcPr>
            <w:tcW w:w="2860" w:type="dxa"/>
          </w:tcPr>
          <w:p w:rsidR="00355ACB" w:rsidRDefault="00355ACB" w:rsidP="005E11E4">
            <w:pPr>
              <w:rPr>
                <w:rFonts w:ascii="Times New Roman" w:hAnsi="Times New Roman" w:cs="Times New Roman"/>
                <w:b/>
                <w:sz w:val="24"/>
                <w:szCs w:val="24"/>
              </w:rPr>
            </w:pPr>
            <w:r>
              <w:rPr>
                <w:rFonts w:ascii="Times New Roman" w:hAnsi="Times New Roman" w:cs="Times New Roman"/>
                <w:b/>
                <w:sz w:val="24"/>
                <w:szCs w:val="24"/>
              </w:rPr>
              <w:t>5</w:t>
            </w:r>
          </w:p>
          <w:p w:rsidR="00355ACB" w:rsidRDefault="00355ACB" w:rsidP="005E11E4">
            <w:pPr>
              <w:rPr>
                <w:rFonts w:ascii="Times New Roman" w:hAnsi="Times New Roman" w:cs="Times New Roman"/>
                <w:b/>
                <w:sz w:val="24"/>
                <w:szCs w:val="24"/>
              </w:rPr>
            </w:pPr>
            <w:r>
              <w:rPr>
                <w:rFonts w:ascii="Times New Roman" w:hAnsi="Times New Roman" w:cs="Times New Roman"/>
                <w:b/>
                <w:sz w:val="24"/>
                <w:szCs w:val="24"/>
              </w:rPr>
              <w:t>Mastery</w:t>
            </w:r>
          </w:p>
        </w:tc>
      </w:tr>
      <w:tr w:rsidR="00355ACB" w:rsidTr="005E11E4">
        <w:trPr>
          <w:trHeight w:val="3853"/>
        </w:trPr>
        <w:tc>
          <w:tcPr>
            <w:tcW w:w="1948" w:type="dxa"/>
          </w:tcPr>
          <w:p w:rsidR="00355ACB" w:rsidRPr="005C5C23" w:rsidRDefault="00355ACB" w:rsidP="005E11E4">
            <w:pPr>
              <w:rPr>
                <w:rFonts w:ascii="Times New Roman" w:hAnsi="Times New Roman" w:cs="Times New Roman"/>
                <w:sz w:val="24"/>
                <w:szCs w:val="24"/>
              </w:rPr>
            </w:pPr>
            <w:r>
              <w:rPr>
                <w:rFonts w:ascii="Times New Roman" w:hAnsi="Times New Roman" w:cs="Times New Roman"/>
                <w:sz w:val="24"/>
                <w:szCs w:val="24"/>
              </w:rPr>
              <w:t>Submission appears unrelated to learning unit.  Evidence of teaching skill not present in faculty submission.</w:t>
            </w:r>
          </w:p>
        </w:tc>
        <w:tc>
          <w:tcPr>
            <w:tcW w:w="1948" w:type="dxa"/>
          </w:tcPr>
          <w:p w:rsidR="00355ACB" w:rsidRPr="005C5C23" w:rsidRDefault="00355ACB" w:rsidP="005E11E4">
            <w:pPr>
              <w:rPr>
                <w:rFonts w:ascii="Times New Roman" w:hAnsi="Times New Roman" w:cs="Times New Roman"/>
                <w:sz w:val="24"/>
                <w:szCs w:val="24"/>
              </w:rPr>
            </w:pPr>
            <w:r>
              <w:rPr>
                <w:rFonts w:ascii="Times New Roman" w:hAnsi="Times New Roman" w:cs="Times New Roman"/>
                <w:sz w:val="24"/>
                <w:szCs w:val="24"/>
              </w:rPr>
              <w:t xml:space="preserve">Submission shows ability to recall correct terms but lacks ability to apply learning content to described teaching situation.  </w:t>
            </w:r>
          </w:p>
        </w:tc>
        <w:tc>
          <w:tcPr>
            <w:tcW w:w="2505" w:type="dxa"/>
          </w:tcPr>
          <w:p w:rsidR="00355ACB" w:rsidRPr="005C5C23" w:rsidRDefault="00355ACB" w:rsidP="005E11E4">
            <w:pPr>
              <w:rPr>
                <w:rFonts w:ascii="Times New Roman" w:hAnsi="Times New Roman" w:cs="Times New Roman"/>
                <w:sz w:val="24"/>
                <w:szCs w:val="24"/>
              </w:rPr>
            </w:pPr>
            <w:r>
              <w:rPr>
                <w:rFonts w:ascii="Times New Roman" w:hAnsi="Times New Roman" w:cs="Times New Roman"/>
                <w:sz w:val="24"/>
                <w:szCs w:val="24"/>
              </w:rPr>
              <w:t xml:space="preserve">Submission shows understanding of how to apply learning content to teaching situation but lacks ability to anticipate the impact this decision will have on student learning. </w:t>
            </w:r>
          </w:p>
        </w:tc>
        <w:tc>
          <w:tcPr>
            <w:tcW w:w="2335" w:type="dxa"/>
          </w:tcPr>
          <w:p w:rsidR="00355ACB" w:rsidRPr="00013B54" w:rsidRDefault="00355ACB" w:rsidP="005E11E4">
            <w:pPr>
              <w:rPr>
                <w:rFonts w:ascii="Times New Roman" w:hAnsi="Times New Roman" w:cs="Times New Roman"/>
                <w:sz w:val="24"/>
                <w:szCs w:val="24"/>
              </w:rPr>
            </w:pPr>
            <w:r>
              <w:rPr>
                <w:rFonts w:ascii="Times New Roman" w:hAnsi="Times New Roman" w:cs="Times New Roman"/>
                <w:sz w:val="24"/>
                <w:szCs w:val="24"/>
              </w:rPr>
              <w:t>Submission demonstrates correct application of teaching skill and correctly identifies potential impact this will have on student learning.</w:t>
            </w:r>
          </w:p>
        </w:tc>
        <w:tc>
          <w:tcPr>
            <w:tcW w:w="2860" w:type="dxa"/>
          </w:tcPr>
          <w:p w:rsidR="00355ACB" w:rsidRPr="008D52DB" w:rsidRDefault="00355ACB" w:rsidP="005E11E4">
            <w:pPr>
              <w:rPr>
                <w:rFonts w:ascii="Times New Roman" w:hAnsi="Times New Roman" w:cs="Times New Roman"/>
                <w:sz w:val="24"/>
                <w:szCs w:val="24"/>
              </w:rPr>
            </w:pPr>
            <w:r>
              <w:rPr>
                <w:rFonts w:ascii="Times New Roman" w:hAnsi="Times New Roman" w:cs="Times New Roman"/>
                <w:sz w:val="24"/>
                <w:szCs w:val="24"/>
              </w:rPr>
              <w:t xml:space="preserve">Submission demonstrates correct application of teaching skill, identifies potential impact on student learning and ability to tailor teaching to individual student needs.  </w:t>
            </w:r>
          </w:p>
        </w:tc>
      </w:tr>
    </w:tbl>
    <w:p w:rsidR="00355ACB" w:rsidRPr="00050BE3" w:rsidRDefault="00355ACB" w:rsidP="00355ACB">
      <w:pPr>
        <w:rPr>
          <w:rFonts w:ascii="Times New Roman" w:hAnsi="Times New Roman" w:cs="Times New Roman"/>
          <w:sz w:val="24"/>
          <w:szCs w:val="24"/>
        </w:rPr>
      </w:pPr>
    </w:p>
    <w:p w:rsidR="00DB12A6" w:rsidRPr="00DB12A6" w:rsidRDefault="00DB12A6" w:rsidP="00DB12A6">
      <w:pPr>
        <w:rPr>
          <w:rFonts w:ascii="Times New Roman" w:hAnsi="Times New Roman" w:cs="Times New Roman"/>
          <w:sz w:val="24"/>
          <w:szCs w:val="24"/>
        </w:rPr>
      </w:pPr>
    </w:p>
    <w:p w:rsidR="00DB12A6" w:rsidRPr="00DB12A6" w:rsidRDefault="00DB12A6">
      <w:pPr>
        <w:rPr>
          <w:rFonts w:ascii="Times New Roman" w:hAnsi="Times New Roman" w:cs="Times New Roman"/>
          <w:sz w:val="24"/>
          <w:szCs w:val="24"/>
        </w:rPr>
      </w:pPr>
    </w:p>
    <w:sectPr w:rsidR="00DB12A6" w:rsidRPr="00DB12A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2A6" w:rsidRDefault="00DB12A6" w:rsidP="00DB12A6">
      <w:pPr>
        <w:spacing w:after="0" w:line="240" w:lineRule="auto"/>
      </w:pPr>
      <w:r>
        <w:separator/>
      </w:r>
    </w:p>
  </w:endnote>
  <w:endnote w:type="continuationSeparator" w:id="0">
    <w:p w:rsidR="00DB12A6" w:rsidRDefault="00DB12A6" w:rsidP="00DB1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2A6" w:rsidRDefault="00DB12A6" w:rsidP="00DB12A6">
      <w:pPr>
        <w:spacing w:after="0" w:line="240" w:lineRule="auto"/>
      </w:pPr>
      <w:r>
        <w:separator/>
      </w:r>
    </w:p>
  </w:footnote>
  <w:footnote w:type="continuationSeparator" w:id="0">
    <w:p w:rsidR="00DB12A6" w:rsidRDefault="00DB12A6" w:rsidP="00DB1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A6" w:rsidRDefault="00DB12A6">
    <w:pPr>
      <w:pStyle w:val="Header"/>
    </w:pPr>
  </w:p>
  <w:p w:rsidR="00DB12A6" w:rsidRDefault="00DB12A6" w:rsidP="00DB12A6">
    <w:pPr>
      <w:pStyle w:val="Header"/>
      <w:jc w:val="center"/>
    </w:pPr>
    <w:r>
      <w:rPr>
        <w:noProof/>
        <w:sz w:val="24"/>
        <w:szCs w:val="24"/>
      </w:rPr>
      <w:drawing>
        <wp:inline distT="0" distB="0" distL="0" distR="0" wp14:anchorId="6F5AED36" wp14:editId="0E4B3279">
          <wp:extent cx="2392680" cy="861060"/>
          <wp:effectExtent l="0" t="0" r="7620" b="0"/>
          <wp:docPr id="1" name="Picture 1" descr="cid:image001.jpg@01D2C359.7ABC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C359.7ABC44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92680" cy="861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37730"/>
    <w:multiLevelType w:val="hybridMultilevel"/>
    <w:tmpl w:val="925E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664A1"/>
    <w:multiLevelType w:val="multilevel"/>
    <w:tmpl w:val="9C78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8C0D90"/>
    <w:multiLevelType w:val="multilevel"/>
    <w:tmpl w:val="25860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A6"/>
    <w:rsid w:val="00355ACB"/>
    <w:rsid w:val="00384613"/>
    <w:rsid w:val="004E4EF2"/>
    <w:rsid w:val="0052401E"/>
    <w:rsid w:val="00851A5F"/>
    <w:rsid w:val="00A532EB"/>
    <w:rsid w:val="00DB12A6"/>
    <w:rsid w:val="00E4474C"/>
    <w:rsid w:val="00FB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650EF-4C47-4E52-9E57-94FD9029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2A6"/>
  </w:style>
  <w:style w:type="paragraph" w:styleId="Footer">
    <w:name w:val="footer"/>
    <w:basedOn w:val="Normal"/>
    <w:link w:val="FooterChar"/>
    <w:uiPriority w:val="99"/>
    <w:unhideWhenUsed/>
    <w:rsid w:val="00DB1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2A6"/>
  </w:style>
  <w:style w:type="character" w:styleId="Hyperlink">
    <w:name w:val="Hyperlink"/>
    <w:basedOn w:val="DefaultParagraphFont"/>
    <w:uiPriority w:val="99"/>
    <w:unhideWhenUsed/>
    <w:rsid w:val="00851A5F"/>
    <w:rPr>
      <w:color w:val="0563C1" w:themeColor="hyperlink"/>
      <w:u w:val="single"/>
    </w:rPr>
  </w:style>
  <w:style w:type="table" w:styleId="TableGrid">
    <w:name w:val="Table Grid"/>
    <w:basedOn w:val="TableNormal"/>
    <w:uiPriority w:val="39"/>
    <w:rsid w:val="00355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cultydevelopment@wil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2C359.7ABC44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Charles J. (CTE)</dc:creator>
  <cp:keywords/>
  <dc:description/>
  <cp:lastModifiedBy>Simpson, Charles J. (CTE)</cp:lastModifiedBy>
  <cp:revision>4</cp:revision>
  <dcterms:created xsi:type="dcterms:W3CDTF">2017-08-02T13:48:00Z</dcterms:created>
  <dcterms:modified xsi:type="dcterms:W3CDTF">2017-08-21T15:18:00Z</dcterms:modified>
</cp:coreProperties>
</file>